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9A6D1" w14:textId="3C0F0710" w:rsidR="00264738" w:rsidRDefault="00264738" w:rsidP="005B34AC">
      <w:pPr>
        <w:pStyle w:val="NoSpacing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2DFBD8C0" w14:textId="77777777" w:rsidR="005B34AC" w:rsidRDefault="005B34AC" w:rsidP="00264738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31B70828" w14:textId="77777777" w:rsidR="005B34AC" w:rsidRDefault="005B34AC" w:rsidP="00264738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61C0139C" w14:textId="77777777" w:rsidR="005B34AC" w:rsidRDefault="005B34AC" w:rsidP="005B34AC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Splinter Walking and Social Group</w:t>
      </w:r>
    </w:p>
    <w:p w14:paraId="20BD2496" w14:textId="77777777" w:rsidR="005B34AC" w:rsidRDefault="005B34AC" w:rsidP="005B34AC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Committee Meeting Minutes</w:t>
      </w:r>
    </w:p>
    <w:p w14:paraId="13314AF6" w14:textId="77777777" w:rsidR="005B34AC" w:rsidRDefault="005B34AC" w:rsidP="005B34AC">
      <w:pPr>
        <w:pStyle w:val="NoSpacing"/>
        <w:rPr>
          <w:rFonts w:ascii="Arial" w:hAnsi="Arial" w:cs="Arial"/>
        </w:rPr>
      </w:pPr>
    </w:p>
    <w:p w14:paraId="6515893F" w14:textId="77777777" w:rsidR="005B34AC" w:rsidRDefault="005B34AC" w:rsidP="005B34AC">
      <w:pPr>
        <w:pStyle w:val="NoSpacing"/>
        <w:rPr>
          <w:rFonts w:ascii="Arial" w:hAnsi="Arial" w:cs="Arial"/>
        </w:rPr>
      </w:pPr>
    </w:p>
    <w:p w14:paraId="063F137A" w14:textId="0866EB98" w:rsidR="005B34AC" w:rsidRDefault="00DB445C" w:rsidP="005B34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</w:t>
      </w:r>
      <w:r w:rsidR="008164EF">
        <w:rPr>
          <w:rFonts w:ascii="Arial" w:hAnsi="Arial" w:cs="Arial"/>
        </w:rPr>
        <w:t>/02/2022</w:t>
      </w:r>
    </w:p>
    <w:p w14:paraId="3CDADDC7" w14:textId="071FA1F5" w:rsidR="005B34AC" w:rsidRDefault="008164EF" w:rsidP="005B34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Venue: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N/A</w:t>
      </w:r>
    </w:p>
    <w:p w14:paraId="337AE672" w14:textId="475DA4BC" w:rsidR="005B34AC" w:rsidRDefault="008164EF" w:rsidP="005B34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Attendees:</w:t>
      </w:r>
      <w:r>
        <w:rPr>
          <w:rFonts w:ascii="Arial" w:hAnsi="Arial" w:cs="Arial"/>
        </w:rPr>
        <w:tab/>
      </w:r>
      <w:r w:rsidR="005B34AC">
        <w:rPr>
          <w:rFonts w:ascii="Arial" w:hAnsi="Arial" w:cs="Arial"/>
        </w:rPr>
        <w:t xml:space="preserve">Phil Thorp (PT) </w:t>
      </w:r>
    </w:p>
    <w:p w14:paraId="0CE78460" w14:textId="147A3948" w:rsidR="005B34AC" w:rsidRDefault="008164EF" w:rsidP="005B34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Absentees:</w:t>
      </w:r>
      <w:r>
        <w:rPr>
          <w:rFonts w:ascii="Arial" w:hAnsi="Arial" w:cs="Arial"/>
        </w:rPr>
        <w:tab/>
        <w:t>N/A</w:t>
      </w:r>
    </w:p>
    <w:p w14:paraId="28CE0C00" w14:textId="77777777" w:rsidR="005B34AC" w:rsidRDefault="005B34AC" w:rsidP="005B34AC">
      <w:pPr>
        <w:pStyle w:val="NoSpacing"/>
        <w:rPr>
          <w:rFonts w:ascii="Arial" w:hAnsi="Arial" w:cs="Arial"/>
        </w:rPr>
      </w:pPr>
    </w:p>
    <w:p w14:paraId="03AF2D87" w14:textId="77777777" w:rsidR="005B34AC" w:rsidRDefault="005B34AC" w:rsidP="005B34AC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Agenda</w:t>
      </w:r>
    </w:p>
    <w:p w14:paraId="2306A3D2" w14:textId="465E85D5" w:rsidR="005B34AC" w:rsidRDefault="005B34AC" w:rsidP="005B34A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5B34AC" w14:paraId="2C69AB9B" w14:textId="77777777" w:rsidTr="005B34AC">
        <w:tc>
          <w:tcPr>
            <w:tcW w:w="8075" w:type="dxa"/>
          </w:tcPr>
          <w:p w14:paraId="525238B0" w14:textId="613248B5" w:rsidR="008164EF" w:rsidRDefault="008164EF" w:rsidP="008164E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Finance report</w:t>
            </w:r>
          </w:p>
          <w:p w14:paraId="3755A509" w14:textId="77777777" w:rsidR="008164EF" w:rsidRDefault="008164EF" w:rsidP="008164EF">
            <w:pPr>
              <w:pStyle w:val="NoSpacing"/>
              <w:rPr>
                <w:rFonts w:ascii="Arial" w:hAnsi="Arial" w:cs="Arial"/>
              </w:rPr>
            </w:pPr>
          </w:p>
          <w:p w14:paraId="6BA90FBA" w14:textId="699281B1" w:rsidR="008164EF" w:rsidRDefault="008164EF" w:rsidP="008164E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PT reports a still healthy balance in the Group’s bank account for Y/E </w:t>
            </w:r>
          </w:p>
          <w:p w14:paraId="4FCD3B05" w14:textId="26B33979" w:rsidR="008164EF" w:rsidRDefault="008164EF" w:rsidP="008164EF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December 2021.  </w:t>
            </w:r>
            <w:proofErr w:type="spellStart"/>
            <w:r>
              <w:rPr>
                <w:rFonts w:ascii="Arial" w:hAnsi="Arial" w:cs="Arial"/>
              </w:rPr>
              <w:t>Covid</w:t>
            </w:r>
            <w:proofErr w:type="spellEnd"/>
            <w:r>
              <w:rPr>
                <w:rFonts w:ascii="Arial" w:hAnsi="Arial" w:cs="Arial"/>
              </w:rPr>
              <w:t xml:space="preserve"> has reduced ac</w:t>
            </w:r>
            <w:r w:rsidR="002B314B">
              <w:rPr>
                <w:rFonts w:ascii="Arial" w:hAnsi="Arial" w:cs="Arial"/>
              </w:rPr>
              <w:t>tivity over the last 2 years.  Also w</w:t>
            </w:r>
            <w:r>
              <w:rPr>
                <w:rFonts w:ascii="Arial" w:hAnsi="Arial" w:cs="Arial"/>
              </w:rPr>
              <w:t>hen walking resumed in 2021 it was agreed the walks would be free until further notice to facilitate the resumption</w:t>
            </w:r>
            <w:r w:rsidR="00DB445C">
              <w:rPr>
                <w:rFonts w:ascii="Arial" w:hAnsi="Arial" w:cs="Arial"/>
              </w:rPr>
              <w:t>, hence the fall in income in the year</w:t>
            </w:r>
            <w:r>
              <w:rPr>
                <w:rFonts w:ascii="Arial" w:hAnsi="Arial" w:cs="Arial"/>
              </w:rPr>
              <w:t>.  Some additional expense is anticipated in 2022</w:t>
            </w:r>
            <w:r w:rsidR="002B314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particularly on the IT side</w:t>
            </w:r>
            <w:r w:rsidR="002B314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so it would be prudent to </w:t>
            </w:r>
            <w:r w:rsidR="002B314B">
              <w:rPr>
                <w:rFonts w:ascii="Arial" w:hAnsi="Arial" w:cs="Arial"/>
              </w:rPr>
              <w:t>reinstate the £1 walk charge.  PT will conf</w:t>
            </w:r>
            <w:r w:rsidR="00DB445C">
              <w:rPr>
                <w:rFonts w:ascii="Arial" w:hAnsi="Arial" w:cs="Arial"/>
              </w:rPr>
              <w:t>irm this to walkers on the February</w:t>
            </w:r>
            <w:r w:rsidR="002B314B">
              <w:rPr>
                <w:rFonts w:ascii="Arial" w:hAnsi="Arial" w:cs="Arial"/>
              </w:rPr>
              <w:t xml:space="preserve"> walk, suggesting April as the resumption date.</w:t>
            </w:r>
          </w:p>
          <w:p w14:paraId="0F5E10C0" w14:textId="77777777" w:rsidR="008164EF" w:rsidRDefault="008164EF" w:rsidP="008164EF">
            <w:pPr>
              <w:pStyle w:val="NoSpacing"/>
              <w:ind w:left="72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717"/>
              <w:gridCol w:w="1794"/>
              <w:gridCol w:w="1794"/>
              <w:gridCol w:w="1824"/>
            </w:tblGrid>
            <w:tr w:rsidR="008164EF" w14:paraId="7986E079" w14:textId="77777777" w:rsidTr="002B314B">
              <w:trPr>
                <w:trHeight w:val="1922"/>
              </w:trPr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558BD" w14:textId="77777777" w:rsidR="008164EF" w:rsidRDefault="008164EF" w:rsidP="008164EF">
                  <w:pPr>
                    <w:pStyle w:val="NoSpacing"/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Year</w:t>
                  </w:r>
                </w:p>
                <w:p w14:paraId="766FD3B4" w14:textId="2E55D491" w:rsidR="008164EF" w:rsidRDefault="008164EF" w:rsidP="002B314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14:paraId="2DC89CA3" w14:textId="77777777" w:rsidR="008164EF" w:rsidRDefault="008164EF" w:rsidP="008164E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2019</w:t>
                  </w:r>
                </w:p>
                <w:p w14:paraId="042DEA84" w14:textId="77777777" w:rsidR="002B314B" w:rsidRDefault="002B314B" w:rsidP="008164E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  <w:p w14:paraId="74EA5E2E" w14:textId="77777777" w:rsidR="002B314B" w:rsidRDefault="002B314B" w:rsidP="008164E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2020</w:t>
                  </w:r>
                </w:p>
                <w:p w14:paraId="5E2C0478" w14:textId="77777777" w:rsidR="002B314B" w:rsidRDefault="002B314B" w:rsidP="008164E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  <w:p w14:paraId="3B19926F" w14:textId="59B44FE0" w:rsidR="002B314B" w:rsidRDefault="002B314B" w:rsidP="008164E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2021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37CDF" w14:textId="77777777" w:rsidR="008164EF" w:rsidRDefault="008164EF" w:rsidP="008164E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Monies In</w:t>
                  </w:r>
                </w:p>
                <w:p w14:paraId="6606D147" w14:textId="63D619A6" w:rsidR="008164EF" w:rsidRDefault="008164EF" w:rsidP="002B314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14:paraId="24D233E9" w14:textId="77777777" w:rsidR="008164EF" w:rsidRDefault="008164EF" w:rsidP="008164E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£139</w:t>
                  </w:r>
                </w:p>
                <w:p w14:paraId="2F1E4198" w14:textId="77777777" w:rsidR="00DB445C" w:rsidRDefault="00DB445C" w:rsidP="008164E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  <w:p w14:paraId="36C736CA" w14:textId="77777777" w:rsidR="00DB445C" w:rsidRDefault="00DB445C" w:rsidP="008164E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£36</w:t>
                  </w:r>
                </w:p>
                <w:p w14:paraId="40983A42" w14:textId="77777777" w:rsidR="00DB445C" w:rsidRDefault="00DB445C" w:rsidP="008164E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  <w:p w14:paraId="2E976B3C" w14:textId="2AFFC63A" w:rsidR="00DB445C" w:rsidRDefault="00DB445C" w:rsidP="008164E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£0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9997E" w14:textId="77777777" w:rsidR="008164EF" w:rsidRDefault="008164EF" w:rsidP="008164E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Monies Out</w:t>
                  </w:r>
                </w:p>
                <w:p w14:paraId="20205CEA" w14:textId="51B96B8D" w:rsidR="008164EF" w:rsidRDefault="008164EF" w:rsidP="002B314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14:paraId="31646727" w14:textId="77777777" w:rsidR="008164EF" w:rsidRDefault="008164EF" w:rsidP="008164E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£129</w:t>
                  </w:r>
                </w:p>
                <w:p w14:paraId="73D612F7" w14:textId="77777777" w:rsidR="00DB445C" w:rsidRDefault="00DB445C" w:rsidP="008164E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  <w:p w14:paraId="76A278BA" w14:textId="77777777" w:rsidR="00DB445C" w:rsidRDefault="00DB445C" w:rsidP="008164E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£15</w:t>
                  </w:r>
                </w:p>
                <w:p w14:paraId="26B9618C" w14:textId="77777777" w:rsidR="00DB445C" w:rsidRDefault="00DB445C" w:rsidP="008164E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  <w:p w14:paraId="14993488" w14:textId="30DFEFC2" w:rsidR="00DB445C" w:rsidRDefault="00DB445C" w:rsidP="008164E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£25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10FBC" w14:textId="77777777" w:rsidR="008164EF" w:rsidRDefault="008164EF" w:rsidP="008164EF">
                  <w:pPr>
                    <w:pStyle w:val="NoSpacing"/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Y/E Balance</w:t>
                  </w:r>
                </w:p>
                <w:p w14:paraId="67543601" w14:textId="55656109" w:rsidR="008164EF" w:rsidRDefault="008164EF" w:rsidP="002B314B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14:paraId="19FDAC49" w14:textId="77777777" w:rsidR="008164EF" w:rsidRDefault="008164EF" w:rsidP="008164E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£160</w:t>
                  </w:r>
                </w:p>
                <w:p w14:paraId="33C738F3" w14:textId="77777777" w:rsidR="00DB445C" w:rsidRDefault="00DB445C" w:rsidP="008164E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  <w:p w14:paraId="7CE0803D" w14:textId="77777777" w:rsidR="00DB445C" w:rsidRDefault="00DB445C" w:rsidP="008164E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£181</w:t>
                  </w:r>
                </w:p>
                <w:p w14:paraId="07816741" w14:textId="77777777" w:rsidR="00DB445C" w:rsidRDefault="00DB445C" w:rsidP="008164E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  <w:p w14:paraId="24A8C47E" w14:textId="0A62EC80" w:rsidR="00DB445C" w:rsidRDefault="00DB445C" w:rsidP="008164E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£156</w:t>
                  </w:r>
                </w:p>
              </w:tc>
            </w:tr>
          </w:tbl>
          <w:p w14:paraId="19728237" w14:textId="4BA4ACAE" w:rsidR="008164EF" w:rsidRDefault="008164EF" w:rsidP="008164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58FA4980" w14:textId="77777777" w:rsidR="005B34AC" w:rsidRDefault="005B34AC">
            <w:pPr>
              <w:pStyle w:val="NoSpacing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Action</w:t>
            </w:r>
          </w:p>
          <w:p w14:paraId="31066FA8" w14:textId="77777777" w:rsidR="005B34AC" w:rsidRDefault="005B34AC" w:rsidP="005B34A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D4A879C" w14:textId="77777777" w:rsidR="002B314B" w:rsidRDefault="002B314B" w:rsidP="005B34A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F4147AF" w14:textId="77777777" w:rsidR="002B314B" w:rsidRDefault="002B314B" w:rsidP="005B34A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667E083" w14:textId="77777777" w:rsidR="002B314B" w:rsidRDefault="002B314B" w:rsidP="005B34A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A1CD690" w14:textId="77777777" w:rsidR="002B314B" w:rsidRDefault="002B314B" w:rsidP="005B34A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38449DE" w14:textId="77777777" w:rsidR="002B314B" w:rsidRDefault="002B314B" w:rsidP="005B34A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F60050A" w14:textId="77777777" w:rsidR="002B314B" w:rsidRDefault="002B314B" w:rsidP="005B34A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1AE295A" w14:textId="77777777" w:rsidR="002B314B" w:rsidRDefault="002B314B" w:rsidP="005B34A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1751792" w14:textId="54160685" w:rsidR="002B314B" w:rsidRPr="002B314B" w:rsidRDefault="002B314B" w:rsidP="005B34A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B314B">
              <w:rPr>
                <w:rFonts w:ascii="Arial" w:hAnsi="Arial" w:cs="Arial"/>
                <w:b/>
              </w:rPr>
              <w:t>PT</w:t>
            </w:r>
          </w:p>
          <w:p w14:paraId="5EF65D64" w14:textId="77777777" w:rsidR="005B34AC" w:rsidRDefault="005B34A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B34AC" w14:paraId="0A3DFBCB" w14:textId="77777777" w:rsidTr="005B34AC">
        <w:tc>
          <w:tcPr>
            <w:tcW w:w="8075" w:type="dxa"/>
          </w:tcPr>
          <w:p w14:paraId="1A5A6BD1" w14:textId="7CAB8F99" w:rsidR="005B34AC" w:rsidRDefault="005B34AC" w:rsidP="005B34A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58F6AC54" w14:textId="1268C247" w:rsidR="005B34AC" w:rsidRDefault="005B34AC" w:rsidP="005B34A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5B34AC" w14:paraId="7D483026" w14:textId="77777777" w:rsidTr="005B34AC">
        <w:tc>
          <w:tcPr>
            <w:tcW w:w="8075" w:type="dxa"/>
            <w:hideMark/>
          </w:tcPr>
          <w:p w14:paraId="738084CC" w14:textId="7EF961B0" w:rsidR="005B34AC" w:rsidRDefault="005B34AC" w:rsidP="005B34AC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24737B26" w14:textId="77777777" w:rsidR="005B34AC" w:rsidRDefault="005B34AC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</w:tbl>
    <w:p w14:paraId="556C2FB8" w14:textId="77777777" w:rsidR="005B34AC" w:rsidRDefault="005B34AC" w:rsidP="005B34AC">
      <w:pPr>
        <w:pStyle w:val="NoSpacing"/>
        <w:rPr>
          <w:rFonts w:ascii="Arial" w:hAnsi="Arial" w:cs="Arial"/>
        </w:rPr>
      </w:pPr>
    </w:p>
    <w:p w14:paraId="326F80E2" w14:textId="77777777" w:rsidR="005B34AC" w:rsidRDefault="005B34AC" w:rsidP="005B34AC">
      <w:pPr>
        <w:pStyle w:val="NoSpacing"/>
        <w:rPr>
          <w:rFonts w:ascii="Arial" w:hAnsi="Arial" w:cs="Arial"/>
        </w:rPr>
      </w:pPr>
    </w:p>
    <w:p w14:paraId="7AB02C2C" w14:textId="77777777" w:rsidR="005B34AC" w:rsidRDefault="005B34AC" w:rsidP="005B34AC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539B9E87" w14:textId="77777777" w:rsidR="005B34AC" w:rsidRDefault="005B34AC" w:rsidP="005B34AC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141D7557" w14:textId="77777777" w:rsidR="005B34AC" w:rsidRDefault="005B34AC" w:rsidP="005B34AC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492B4B58" w14:textId="77777777" w:rsidR="005B34AC" w:rsidRDefault="005B34AC" w:rsidP="005B34AC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1CF6466A" w14:textId="77777777" w:rsidR="005B34AC" w:rsidRDefault="005B34AC" w:rsidP="005B34AC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2EF80303" w14:textId="77777777" w:rsidR="005B34AC" w:rsidRDefault="005B34AC" w:rsidP="005B34AC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1D92BC9A" w14:textId="77777777" w:rsidR="00DB445C" w:rsidRDefault="00DB445C" w:rsidP="005B34AC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215A1CF0" w14:textId="77777777" w:rsidR="00DB445C" w:rsidRDefault="00DB445C" w:rsidP="005B34AC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1914F77C" w14:textId="77777777" w:rsidR="00DB445C" w:rsidRDefault="00DB445C" w:rsidP="005B34AC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546710C9" w14:textId="77777777" w:rsidR="00DB445C" w:rsidRDefault="00DB445C" w:rsidP="005B34AC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10FBC677" w14:textId="77777777" w:rsidR="00DB445C" w:rsidRDefault="00DB445C" w:rsidP="005B34AC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25F975BC" w14:textId="77777777" w:rsidR="00DB445C" w:rsidRDefault="00DB445C" w:rsidP="005B34AC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6E26711B" w14:textId="77777777" w:rsidR="00DB445C" w:rsidRDefault="00DB445C" w:rsidP="005B34AC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53CE0168" w14:textId="77777777" w:rsidR="00DB445C" w:rsidRDefault="00DB445C" w:rsidP="005B34AC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2118E280" w14:textId="77777777" w:rsidR="00DB445C" w:rsidRDefault="00DB445C" w:rsidP="005B34AC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52B61BAB" w14:textId="77777777" w:rsidR="00DB445C" w:rsidRDefault="00DB445C" w:rsidP="005B34AC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2F5060CA" w14:textId="77777777" w:rsidR="00DB445C" w:rsidRDefault="00DB445C" w:rsidP="005B34AC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09BF03A4" w14:textId="77777777" w:rsidR="005B34AC" w:rsidRDefault="005B34AC" w:rsidP="00DB445C">
      <w:pPr>
        <w:pStyle w:val="NoSpacing"/>
        <w:rPr>
          <w:rFonts w:ascii="Arial" w:hAnsi="Arial" w:cs="Arial"/>
          <w:sz w:val="16"/>
          <w:szCs w:val="16"/>
        </w:rPr>
      </w:pPr>
    </w:p>
    <w:p w14:paraId="7FFB4FAA" w14:textId="77777777" w:rsidR="005B34AC" w:rsidRDefault="005B34AC" w:rsidP="005B34AC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672C2996" w14:textId="77777777" w:rsidR="005B34AC" w:rsidRDefault="005B34AC" w:rsidP="005B34AC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24445103" w14:textId="1C0F99FA" w:rsidR="005B34AC" w:rsidRDefault="00DB445C" w:rsidP="005B34AC">
      <w:pPr>
        <w:pStyle w:val="NoSpacing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Doc4: 2022-02-04</w:t>
      </w:r>
    </w:p>
    <w:p w14:paraId="55C0A82B" w14:textId="77777777" w:rsidR="005B34AC" w:rsidRPr="005B34AC" w:rsidRDefault="005B34AC" w:rsidP="005B34AC">
      <w:pPr>
        <w:pStyle w:val="NoSpacing"/>
        <w:rPr>
          <w:rFonts w:ascii="Arial" w:hAnsi="Arial" w:cs="Arial"/>
        </w:rPr>
      </w:pPr>
    </w:p>
    <w:sectPr w:rsidR="005B34AC" w:rsidRPr="005B3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20D35"/>
    <w:multiLevelType w:val="hybridMultilevel"/>
    <w:tmpl w:val="8E22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B6512"/>
    <w:multiLevelType w:val="hybridMultilevel"/>
    <w:tmpl w:val="F08E1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38"/>
    <w:rsid w:val="001400C0"/>
    <w:rsid w:val="00264738"/>
    <w:rsid w:val="002B314B"/>
    <w:rsid w:val="00340008"/>
    <w:rsid w:val="005B34AC"/>
    <w:rsid w:val="008164EF"/>
    <w:rsid w:val="00C22C73"/>
    <w:rsid w:val="00DB445C"/>
    <w:rsid w:val="00F0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3B67"/>
  <w15:chartTrackingRefBased/>
  <w15:docId w15:val="{83D90EB2-FF39-4346-9761-39B9C133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4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738"/>
    <w:pPr>
      <w:spacing w:after="0" w:line="240" w:lineRule="auto"/>
    </w:pPr>
  </w:style>
  <w:style w:type="table" w:styleId="TableGrid">
    <w:name w:val="Table Grid"/>
    <w:basedOn w:val="TableNormal"/>
    <w:uiPriority w:val="39"/>
    <w:rsid w:val="00F05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Renshaw</dc:creator>
  <cp:keywords/>
  <dc:description/>
  <cp:lastModifiedBy>Microsoft account</cp:lastModifiedBy>
  <cp:revision>4</cp:revision>
  <dcterms:created xsi:type="dcterms:W3CDTF">2022-02-04T11:15:00Z</dcterms:created>
  <dcterms:modified xsi:type="dcterms:W3CDTF">2022-02-04T11:45:00Z</dcterms:modified>
</cp:coreProperties>
</file>